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F209A4" w:rsidRPr="00994B67" w:rsidRDefault="00994B67" w:rsidP="00994B67">
      <w:pPr>
        <w:spacing w:after="0" w:line="480" w:lineRule="auto"/>
        <w:jc w:val="center"/>
        <w:rPr>
          <w:rFonts w:ascii="Times New Roman" w:hAnsi="Times New Roman" w:cs="Times New Roman"/>
          <w:sz w:val="24"/>
          <w:szCs w:val="24"/>
        </w:rPr>
      </w:pPr>
      <w:r w:rsidRPr="00994B67">
        <w:rPr>
          <w:rFonts w:ascii="Times New Roman" w:hAnsi="Times New Roman" w:cs="Times New Roman"/>
          <w:sz w:val="24"/>
          <w:szCs w:val="24"/>
        </w:rPr>
        <w:t>Urinary Tract Infections</w:t>
      </w:r>
    </w:p>
    <w:p w:rsidR="00994B67" w:rsidRPr="00994B67" w:rsidRDefault="00994B67" w:rsidP="00994B67">
      <w:pPr>
        <w:spacing w:after="0" w:line="480" w:lineRule="auto"/>
        <w:jc w:val="center"/>
        <w:rPr>
          <w:rFonts w:ascii="Times New Roman" w:hAnsi="Times New Roman" w:cs="Times New Roman"/>
          <w:sz w:val="24"/>
          <w:szCs w:val="24"/>
        </w:rPr>
      </w:pPr>
      <w:r w:rsidRPr="00994B67">
        <w:rPr>
          <w:rFonts w:ascii="Times New Roman" w:hAnsi="Times New Roman" w:cs="Times New Roman"/>
          <w:sz w:val="24"/>
          <w:szCs w:val="24"/>
        </w:rPr>
        <w:t>Student’s Name</w:t>
      </w:r>
    </w:p>
    <w:p w:rsidR="00994B67" w:rsidRPr="00994B67" w:rsidRDefault="00994B67" w:rsidP="00994B67">
      <w:pPr>
        <w:spacing w:after="0" w:line="480" w:lineRule="auto"/>
        <w:jc w:val="center"/>
        <w:rPr>
          <w:rFonts w:ascii="Times New Roman" w:hAnsi="Times New Roman" w:cs="Times New Roman"/>
          <w:sz w:val="24"/>
          <w:szCs w:val="24"/>
        </w:rPr>
      </w:pPr>
      <w:r w:rsidRPr="00994B67">
        <w:rPr>
          <w:rFonts w:ascii="Times New Roman" w:hAnsi="Times New Roman" w:cs="Times New Roman"/>
          <w:sz w:val="24"/>
          <w:szCs w:val="24"/>
        </w:rPr>
        <w:t>Institutional Affiliation</w:t>
      </w:r>
    </w:p>
    <w:p w:rsidR="00994B67" w:rsidRPr="00994B67" w:rsidRDefault="00994B67" w:rsidP="00994B67">
      <w:pPr>
        <w:spacing w:after="0" w:line="480" w:lineRule="auto"/>
        <w:jc w:val="center"/>
        <w:rPr>
          <w:rFonts w:ascii="Times New Roman" w:hAnsi="Times New Roman" w:cs="Times New Roman"/>
          <w:sz w:val="24"/>
          <w:szCs w:val="24"/>
        </w:rPr>
      </w:pPr>
      <w:r w:rsidRPr="00994B67">
        <w:rPr>
          <w:rFonts w:ascii="Times New Roman" w:hAnsi="Times New Roman" w:cs="Times New Roman"/>
          <w:sz w:val="24"/>
          <w:szCs w:val="24"/>
        </w:rPr>
        <w:t>Course Title</w:t>
      </w:r>
    </w:p>
    <w:p w:rsidR="00994B67" w:rsidRPr="00994B67" w:rsidRDefault="00994B67" w:rsidP="00994B67">
      <w:pPr>
        <w:spacing w:after="0" w:line="480" w:lineRule="auto"/>
        <w:jc w:val="center"/>
        <w:rPr>
          <w:rFonts w:ascii="Times New Roman" w:hAnsi="Times New Roman" w:cs="Times New Roman"/>
          <w:sz w:val="24"/>
          <w:szCs w:val="24"/>
        </w:rPr>
      </w:pPr>
      <w:r w:rsidRPr="00994B67">
        <w:rPr>
          <w:rFonts w:ascii="Times New Roman" w:hAnsi="Times New Roman" w:cs="Times New Roman"/>
          <w:sz w:val="24"/>
          <w:szCs w:val="24"/>
        </w:rPr>
        <w:t>Instructor’s Name</w:t>
      </w:r>
    </w:p>
    <w:p w:rsidR="00994B67" w:rsidRDefault="00994B67" w:rsidP="00994B67">
      <w:pPr>
        <w:spacing w:after="0" w:line="480" w:lineRule="auto"/>
        <w:jc w:val="center"/>
        <w:rPr>
          <w:rFonts w:ascii="Times New Roman" w:hAnsi="Times New Roman" w:cs="Times New Roman"/>
          <w:sz w:val="24"/>
          <w:szCs w:val="24"/>
        </w:rPr>
      </w:pPr>
      <w:r w:rsidRPr="00994B67">
        <w:rPr>
          <w:rFonts w:ascii="Times New Roman" w:hAnsi="Times New Roman" w:cs="Times New Roman"/>
          <w:sz w:val="24"/>
          <w:szCs w:val="24"/>
        </w:rPr>
        <w:t>Date</w:t>
      </w: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sz w:val="24"/>
          <w:szCs w:val="24"/>
        </w:rPr>
      </w:pPr>
    </w:p>
    <w:p w:rsidR="00994B67" w:rsidRPr="00994B67" w:rsidRDefault="00994B67" w:rsidP="00994B67">
      <w:pPr>
        <w:spacing w:after="0" w:line="480" w:lineRule="auto"/>
        <w:jc w:val="center"/>
        <w:rPr>
          <w:rFonts w:ascii="Times New Roman" w:hAnsi="Times New Roman" w:cs="Times New Roman"/>
          <w:sz w:val="24"/>
          <w:szCs w:val="24"/>
        </w:rPr>
      </w:pPr>
    </w:p>
    <w:p w:rsidR="00994B67" w:rsidRPr="00994B67" w:rsidRDefault="00994B67" w:rsidP="00994B67">
      <w:pPr>
        <w:spacing w:after="0" w:line="480" w:lineRule="auto"/>
        <w:jc w:val="center"/>
        <w:outlineLvl w:val="1"/>
        <w:rPr>
          <w:rFonts w:ascii="Times New Roman" w:eastAsia="Times New Roman" w:hAnsi="Times New Roman" w:cs="Times New Roman"/>
          <w:color w:val="0E101A"/>
          <w:sz w:val="24"/>
          <w:szCs w:val="24"/>
        </w:rPr>
      </w:pPr>
      <w:r w:rsidRPr="00994B67">
        <w:rPr>
          <w:rFonts w:ascii="Times New Roman" w:eastAsia="Times New Roman" w:hAnsi="Times New Roman" w:cs="Times New Roman"/>
          <w:color w:val="0E101A"/>
          <w:sz w:val="24"/>
          <w:szCs w:val="24"/>
        </w:rPr>
        <w:lastRenderedPageBreak/>
        <w:t>Abstract</w:t>
      </w:r>
    </w:p>
    <w:p w:rsidR="00994B67" w:rsidRPr="00994B67" w:rsidRDefault="00994B67" w:rsidP="00994B67">
      <w:pPr>
        <w:spacing w:after="0" w:line="480" w:lineRule="auto"/>
        <w:jc w:val="center"/>
        <w:outlineLvl w:val="2"/>
        <w:rPr>
          <w:rFonts w:ascii="Times New Roman" w:eastAsia="Times New Roman" w:hAnsi="Times New Roman" w:cs="Times New Roman"/>
          <w:b/>
          <w:bCs/>
          <w:color w:val="0E101A"/>
          <w:sz w:val="24"/>
          <w:szCs w:val="24"/>
        </w:rPr>
      </w:pPr>
      <w:r w:rsidRPr="00994B67">
        <w:rPr>
          <w:rFonts w:ascii="Times New Roman" w:eastAsia="Times New Roman" w:hAnsi="Times New Roman" w:cs="Times New Roman"/>
          <w:b/>
          <w:bCs/>
          <w:color w:val="0E101A"/>
          <w:sz w:val="24"/>
          <w:szCs w:val="24"/>
        </w:rPr>
        <w:t>Introduction</w:t>
      </w:r>
    </w:p>
    <w:p w:rsidR="00994B67" w:rsidRPr="00994B67" w:rsidRDefault="00994B67" w:rsidP="00994B67">
      <w:pPr>
        <w:spacing w:after="0" w:line="480" w:lineRule="auto"/>
        <w:ind w:firstLine="720"/>
        <w:rPr>
          <w:rFonts w:ascii="Times New Roman" w:eastAsia="Times New Roman" w:hAnsi="Times New Roman" w:cs="Times New Roman"/>
          <w:color w:val="0E101A"/>
          <w:sz w:val="24"/>
          <w:szCs w:val="24"/>
        </w:rPr>
      </w:pPr>
      <w:r w:rsidRPr="00994B67">
        <w:rPr>
          <w:rFonts w:ascii="Times New Roman" w:eastAsia="Times New Roman" w:hAnsi="Times New Roman" w:cs="Times New Roman"/>
          <w:color w:val="0E101A"/>
          <w:sz w:val="24"/>
          <w:szCs w:val="24"/>
        </w:rPr>
        <w:t>Routine interventions in the practice of medicine often lack definitive evidence or are based on evidence that is either not high quality or of only modest-to-marginal effect sizes. An abnormal urinalysis in an elderly patient presenting to the emergency department (ED) with non-specific symptoms represents one condition that requires an evidence-informed approach to diagnosis and management of either asymptomatic bacteriuria or urinary tract infection (UTI). The emergency provider often will not have access to urine cultures, and the risks associated with antibiotic use in the elderly are not without potentially significant side effects.</w:t>
      </w:r>
    </w:p>
    <w:p w:rsidR="00994B67" w:rsidRPr="00994B67" w:rsidRDefault="00994B67" w:rsidP="00994B67">
      <w:pPr>
        <w:spacing w:after="0" w:line="480" w:lineRule="auto"/>
        <w:outlineLvl w:val="2"/>
        <w:rPr>
          <w:rFonts w:ascii="Times New Roman" w:eastAsia="Times New Roman" w:hAnsi="Times New Roman" w:cs="Times New Roman"/>
          <w:b/>
          <w:bCs/>
          <w:color w:val="0E101A"/>
          <w:sz w:val="24"/>
          <w:szCs w:val="24"/>
        </w:rPr>
      </w:pPr>
      <w:r w:rsidRPr="00994B67">
        <w:rPr>
          <w:rFonts w:ascii="Times New Roman" w:eastAsia="Times New Roman" w:hAnsi="Times New Roman" w:cs="Times New Roman"/>
          <w:b/>
          <w:bCs/>
          <w:color w:val="0E101A"/>
          <w:sz w:val="24"/>
          <w:szCs w:val="24"/>
        </w:rPr>
        <w:t>Methods</w:t>
      </w:r>
    </w:p>
    <w:p w:rsidR="00994B67" w:rsidRPr="00994B67" w:rsidRDefault="00994B67" w:rsidP="00994B67">
      <w:pPr>
        <w:spacing w:after="0" w:line="480" w:lineRule="auto"/>
        <w:ind w:firstLine="720"/>
        <w:rPr>
          <w:rFonts w:ascii="Times New Roman" w:eastAsia="Times New Roman" w:hAnsi="Times New Roman" w:cs="Times New Roman"/>
          <w:color w:val="0E101A"/>
          <w:sz w:val="24"/>
          <w:szCs w:val="24"/>
        </w:rPr>
      </w:pPr>
      <w:r w:rsidRPr="00994B67">
        <w:rPr>
          <w:rFonts w:ascii="Times New Roman" w:eastAsia="Times New Roman" w:hAnsi="Times New Roman" w:cs="Times New Roman"/>
          <w:color w:val="0E101A"/>
          <w:sz w:val="24"/>
          <w:szCs w:val="24"/>
        </w:rPr>
        <w:t>We performed a historical and clinical review of the growing body of literature suggesting measurable differences in the systemic immune response manifest among patients with asymptomatic pyuria and UTI, including increases in the pro-inflammatory cytokine interleukin-6 and the acute phase reactant procalcitonin.</w:t>
      </w:r>
    </w:p>
    <w:p w:rsidR="00994B67" w:rsidRPr="00994B67" w:rsidRDefault="00994B67" w:rsidP="00994B67">
      <w:pPr>
        <w:spacing w:after="0" w:line="480" w:lineRule="auto"/>
        <w:outlineLvl w:val="2"/>
        <w:rPr>
          <w:rFonts w:ascii="Times New Roman" w:eastAsia="Times New Roman" w:hAnsi="Times New Roman" w:cs="Times New Roman"/>
          <w:b/>
          <w:bCs/>
          <w:color w:val="0E101A"/>
          <w:sz w:val="24"/>
          <w:szCs w:val="24"/>
        </w:rPr>
      </w:pPr>
      <w:r w:rsidRPr="00994B67">
        <w:rPr>
          <w:rFonts w:ascii="Times New Roman" w:eastAsia="Times New Roman" w:hAnsi="Times New Roman" w:cs="Times New Roman"/>
          <w:b/>
          <w:bCs/>
          <w:color w:val="0E101A"/>
          <w:sz w:val="24"/>
          <w:szCs w:val="24"/>
        </w:rPr>
        <w:t>Results</w:t>
      </w:r>
    </w:p>
    <w:p w:rsidR="00994B67" w:rsidRPr="00994B67" w:rsidRDefault="00994B67" w:rsidP="00994B67">
      <w:pPr>
        <w:spacing w:after="0" w:line="480" w:lineRule="auto"/>
        <w:ind w:firstLine="720"/>
        <w:rPr>
          <w:rFonts w:ascii="Times New Roman" w:eastAsia="Times New Roman" w:hAnsi="Times New Roman" w:cs="Times New Roman"/>
          <w:color w:val="0E101A"/>
          <w:sz w:val="24"/>
          <w:szCs w:val="24"/>
        </w:rPr>
      </w:pPr>
      <w:r w:rsidRPr="00994B67">
        <w:rPr>
          <w:rFonts w:ascii="Times New Roman" w:eastAsia="Times New Roman" w:hAnsi="Times New Roman" w:cs="Times New Roman"/>
          <w:color w:val="0E101A"/>
          <w:sz w:val="24"/>
          <w:szCs w:val="24"/>
        </w:rPr>
        <w:t>Serum procalcitonin, a peptide that undergoes proteolysis into calcitonin, has been demonstrated to quickly and reliably rise in patients with severe bacterial infections and may serve as a potentially sensitive and specific marker for identification of a bacterial illness.</w:t>
      </w:r>
    </w:p>
    <w:p w:rsidR="00994B67" w:rsidRPr="00994B67" w:rsidRDefault="00994B67" w:rsidP="00994B67">
      <w:pPr>
        <w:spacing w:after="0" w:line="480" w:lineRule="auto"/>
        <w:outlineLvl w:val="2"/>
        <w:rPr>
          <w:rFonts w:ascii="Times New Roman" w:eastAsia="Times New Roman" w:hAnsi="Times New Roman" w:cs="Times New Roman"/>
          <w:b/>
          <w:bCs/>
          <w:color w:val="0E101A"/>
          <w:sz w:val="24"/>
          <w:szCs w:val="24"/>
        </w:rPr>
      </w:pPr>
      <w:r w:rsidRPr="00994B67">
        <w:rPr>
          <w:rFonts w:ascii="Times New Roman" w:eastAsia="Times New Roman" w:hAnsi="Times New Roman" w:cs="Times New Roman"/>
          <w:b/>
          <w:bCs/>
          <w:color w:val="0E101A"/>
          <w:sz w:val="24"/>
          <w:szCs w:val="24"/>
        </w:rPr>
        <w:t>Conclusion</w:t>
      </w:r>
    </w:p>
    <w:p w:rsidR="00994B67" w:rsidRPr="00994B67" w:rsidRDefault="00994B67" w:rsidP="00994B67">
      <w:pPr>
        <w:spacing w:after="0" w:line="480" w:lineRule="auto"/>
        <w:ind w:firstLine="720"/>
        <w:rPr>
          <w:rFonts w:ascii="Times New Roman" w:eastAsia="Times New Roman" w:hAnsi="Times New Roman" w:cs="Times New Roman"/>
          <w:color w:val="0E101A"/>
          <w:sz w:val="24"/>
          <w:szCs w:val="24"/>
        </w:rPr>
      </w:pPr>
      <w:r w:rsidRPr="00994B67">
        <w:rPr>
          <w:rFonts w:ascii="Times New Roman" w:eastAsia="Times New Roman" w:hAnsi="Times New Roman" w:cs="Times New Roman"/>
          <w:color w:val="0E101A"/>
          <w:sz w:val="24"/>
          <w:szCs w:val="24"/>
        </w:rPr>
        <w:t>In the absence of validated risk scores for diagnosing UTI in elderly patients presenting to the ED, there may be a role for the use of procalcitonin in this patient population.</w:t>
      </w:r>
    </w:p>
    <w:p w:rsidR="00994B67" w:rsidRPr="00994B67" w:rsidRDefault="00994B67" w:rsidP="00994B67">
      <w:pPr>
        <w:spacing w:after="0" w:line="480" w:lineRule="auto"/>
        <w:rPr>
          <w:rFonts w:ascii="Times New Roman" w:hAnsi="Times New Roman" w:cs="Times New Roman"/>
          <w:sz w:val="24"/>
          <w:szCs w:val="24"/>
        </w:rPr>
      </w:pPr>
    </w:p>
    <w:p w:rsidR="00994B67" w:rsidRDefault="00994B67" w:rsidP="00994B67">
      <w:pPr>
        <w:spacing w:after="0" w:line="480" w:lineRule="auto"/>
        <w:jc w:val="center"/>
        <w:rPr>
          <w:rFonts w:ascii="Times New Roman" w:hAnsi="Times New Roman" w:cs="Times New Roman"/>
          <w:b/>
          <w:sz w:val="24"/>
          <w:szCs w:val="24"/>
        </w:rPr>
      </w:pPr>
    </w:p>
    <w:p w:rsidR="00994B67" w:rsidRPr="00994B67" w:rsidRDefault="00994B67" w:rsidP="00994B67">
      <w:pPr>
        <w:spacing w:after="0" w:line="480" w:lineRule="auto"/>
        <w:jc w:val="center"/>
        <w:rPr>
          <w:rFonts w:ascii="Times New Roman" w:hAnsi="Times New Roman" w:cs="Times New Roman"/>
          <w:b/>
          <w:sz w:val="24"/>
          <w:szCs w:val="24"/>
        </w:rPr>
      </w:pPr>
      <w:r w:rsidRPr="00994B67">
        <w:rPr>
          <w:rFonts w:ascii="Times New Roman" w:hAnsi="Times New Roman" w:cs="Times New Roman"/>
          <w:b/>
          <w:sz w:val="24"/>
          <w:szCs w:val="24"/>
        </w:rPr>
        <w:lastRenderedPageBreak/>
        <w:t>Urinary Tract Infection</w:t>
      </w:r>
    </w:p>
    <w:p w:rsidR="00F209A4" w:rsidRPr="00994B67" w:rsidRDefault="00F209A4" w:rsidP="00994B67">
      <w:pPr>
        <w:spacing w:after="0" w:line="480" w:lineRule="auto"/>
        <w:ind w:firstLine="720"/>
        <w:rPr>
          <w:rFonts w:ascii="Times New Roman" w:hAnsi="Times New Roman" w:cs="Times New Roman"/>
          <w:sz w:val="24"/>
          <w:szCs w:val="24"/>
        </w:rPr>
      </w:pPr>
      <w:r w:rsidRPr="00994B67">
        <w:rPr>
          <w:rFonts w:ascii="Times New Roman" w:hAnsi="Times New Roman" w:cs="Times New Roman"/>
          <w:sz w:val="24"/>
          <w:szCs w:val="24"/>
        </w:rPr>
        <w:t>Pescatore, Nlifaoratos, Rezaie &amp; Swaminathan (2019) states that the management of abnormal urinalyses in an elderly patient represents the opportunity of utilizing procalcitonin testing as an evidence-informed approach. The article provided an update of the UTI diagnosis in the emergency department. From the research, this paper's importance is to provide information that applying evidence-based practice is the most natural medicine for UTI patients. In the emergency room, 200 patients responded well after procalcitonin reduced antibiotic exposure by 30%.</w:t>
      </w:r>
    </w:p>
    <w:p w:rsidR="00F209A4" w:rsidRPr="00994B67" w:rsidRDefault="00F209A4" w:rsidP="00994B67">
      <w:pPr>
        <w:spacing w:after="0" w:line="480" w:lineRule="auto"/>
        <w:ind w:firstLine="720"/>
        <w:rPr>
          <w:rFonts w:ascii="Times New Roman" w:hAnsi="Times New Roman" w:cs="Times New Roman"/>
          <w:sz w:val="24"/>
          <w:szCs w:val="24"/>
        </w:rPr>
      </w:pPr>
      <w:r w:rsidRPr="00994B67">
        <w:rPr>
          <w:rFonts w:ascii="Times New Roman" w:hAnsi="Times New Roman" w:cs="Times New Roman"/>
          <w:sz w:val="24"/>
          <w:szCs w:val="24"/>
        </w:rPr>
        <w:t>Urinary tract infection is an infection in the urinary system, mostly in lower the urinary tract, which consists of bladder and urethra. According to the article, most women are likely to develop a UTI than men because women have a shorter urethra shortening the distance bacteria travels to the bladder (</w:t>
      </w:r>
      <w:r w:rsidRPr="00994B67">
        <w:rPr>
          <w:rFonts w:ascii="Times New Roman" w:hAnsi="Times New Roman" w:cs="Times New Roman"/>
          <w:color w:val="222222"/>
          <w:sz w:val="24"/>
          <w:szCs w:val="24"/>
          <w:shd w:val="clear" w:color="auto" w:fill="FFFFFF"/>
        </w:rPr>
        <w:t>Pescatore, Niforatos, Rezaie &amp; Swaminathan, 2019</w:t>
      </w:r>
      <w:r w:rsidRPr="00994B67">
        <w:rPr>
          <w:rFonts w:ascii="Times New Roman" w:hAnsi="Times New Roman" w:cs="Times New Roman"/>
          <w:sz w:val="24"/>
          <w:szCs w:val="24"/>
        </w:rPr>
        <w:t>). The three risk factors of UTI in women are sexual activity, birth controls, and menopause. Sexually active women have a high chance of having UTIs due to having a new sexual partner. Women who use diaphragms and spermicidal agents for birth control increase the chances of UTI. Lastly, estrogen circulation declines, causing the vulnerability of infection due to changes in the urinary tract system after menopause.</w:t>
      </w:r>
    </w:p>
    <w:p w:rsidR="003B7FD7" w:rsidRPr="00994B67" w:rsidRDefault="00F209A4" w:rsidP="00994B67">
      <w:pPr>
        <w:spacing w:after="0" w:line="480" w:lineRule="auto"/>
        <w:ind w:firstLine="720"/>
        <w:rPr>
          <w:rFonts w:ascii="Times New Roman" w:hAnsi="Times New Roman" w:cs="Times New Roman"/>
          <w:sz w:val="24"/>
          <w:szCs w:val="24"/>
        </w:rPr>
      </w:pPr>
      <w:r w:rsidRPr="00994B67">
        <w:rPr>
          <w:rFonts w:ascii="Times New Roman" w:hAnsi="Times New Roman" w:cs="Times New Roman"/>
          <w:sz w:val="24"/>
          <w:szCs w:val="24"/>
        </w:rPr>
        <w:t>The article is important since it clearly states the significant types of infection that occur in women. These types are cystitis, which is the infection of bladder and urethritis, which is the infection of the urethra. The authors of the article state that sexual intercourse could lead to cystitis in women because of their anatomy and the short distance from the urethra to the bladder. Urethritis occurs in women when GI bacteria are spread from anus to urethra. Other than bacteria, sexually transmitted diseases could cause urethritis.</w:t>
      </w:r>
    </w:p>
    <w:p w:rsidR="00F209A4" w:rsidRPr="00994B67" w:rsidRDefault="00F209A4" w:rsidP="00994B67">
      <w:pPr>
        <w:spacing w:after="0" w:line="480" w:lineRule="auto"/>
        <w:jc w:val="center"/>
        <w:rPr>
          <w:rFonts w:ascii="Times New Roman" w:hAnsi="Times New Roman" w:cs="Times New Roman"/>
          <w:color w:val="222222"/>
          <w:sz w:val="24"/>
          <w:szCs w:val="24"/>
          <w:shd w:val="clear" w:color="auto" w:fill="FFFFFF"/>
        </w:rPr>
      </w:pPr>
      <w:r w:rsidRPr="00994B67">
        <w:rPr>
          <w:rFonts w:ascii="Times New Roman" w:hAnsi="Times New Roman" w:cs="Times New Roman"/>
          <w:color w:val="222222"/>
          <w:sz w:val="24"/>
          <w:szCs w:val="24"/>
          <w:shd w:val="clear" w:color="auto" w:fill="FFFFFF"/>
        </w:rPr>
        <w:lastRenderedPageBreak/>
        <w:t>Reference</w:t>
      </w:r>
    </w:p>
    <w:p w:rsidR="00F209A4" w:rsidRPr="00994B67" w:rsidRDefault="00F209A4" w:rsidP="00994B67">
      <w:pPr>
        <w:spacing w:after="0" w:line="480" w:lineRule="auto"/>
        <w:rPr>
          <w:rFonts w:ascii="Times New Roman" w:hAnsi="Times New Roman" w:cs="Times New Roman"/>
          <w:sz w:val="24"/>
          <w:szCs w:val="24"/>
        </w:rPr>
      </w:pPr>
      <w:r w:rsidRPr="00994B67">
        <w:rPr>
          <w:rFonts w:ascii="Times New Roman" w:hAnsi="Times New Roman" w:cs="Times New Roman"/>
          <w:color w:val="222222"/>
          <w:sz w:val="24"/>
          <w:szCs w:val="24"/>
          <w:shd w:val="clear" w:color="auto" w:fill="FFFFFF"/>
        </w:rPr>
        <w:t>Pescatore, R., Niforatos, J. D., Rezaie, S., &amp; Swaminatha</w:t>
      </w:r>
      <w:r w:rsidR="00994B67">
        <w:rPr>
          <w:rFonts w:ascii="Times New Roman" w:hAnsi="Times New Roman" w:cs="Times New Roman"/>
          <w:color w:val="222222"/>
          <w:sz w:val="24"/>
          <w:szCs w:val="24"/>
          <w:shd w:val="clear" w:color="auto" w:fill="FFFFFF"/>
        </w:rPr>
        <w:t>n, A. (2019). Evidence-Informed</w:t>
      </w:r>
      <w:r w:rsidR="00994B67">
        <w:rPr>
          <w:rFonts w:ascii="Times New Roman" w:hAnsi="Times New Roman" w:cs="Times New Roman"/>
          <w:color w:val="222222"/>
          <w:sz w:val="24"/>
          <w:szCs w:val="24"/>
          <w:shd w:val="clear" w:color="auto" w:fill="FFFFFF"/>
        </w:rPr>
        <w:tab/>
      </w:r>
      <w:r w:rsidRPr="00994B67">
        <w:rPr>
          <w:rFonts w:ascii="Times New Roman" w:hAnsi="Times New Roman" w:cs="Times New Roman"/>
          <w:color w:val="222222"/>
          <w:sz w:val="24"/>
          <w:szCs w:val="24"/>
          <w:shd w:val="clear" w:color="auto" w:fill="FFFFFF"/>
        </w:rPr>
        <w:t>Practice: Diagnostic Questions in Urinary Tract Infections in the Elderly. </w:t>
      </w:r>
      <w:r w:rsidR="00994B67">
        <w:rPr>
          <w:rFonts w:ascii="Times New Roman" w:hAnsi="Times New Roman" w:cs="Times New Roman"/>
          <w:i/>
          <w:iCs/>
          <w:color w:val="222222"/>
          <w:sz w:val="24"/>
          <w:szCs w:val="24"/>
          <w:shd w:val="clear" w:color="auto" w:fill="FFFFFF"/>
        </w:rPr>
        <w:t>Western</w:t>
      </w:r>
      <w:r w:rsidR="00994B67">
        <w:rPr>
          <w:rFonts w:ascii="Times New Roman" w:hAnsi="Times New Roman" w:cs="Times New Roman"/>
          <w:i/>
          <w:iCs/>
          <w:color w:val="222222"/>
          <w:sz w:val="24"/>
          <w:szCs w:val="24"/>
          <w:shd w:val="clear" w:color="auto" w:fill="FFFFFF"/>
        </w:rPr>
        <w:tab/>
      </w:r>
      <w:r w:rsidRPr="00994B67">
        <w:rPr>
          <w:rFonts w:ascii="Times New Roman" w:hAnsi="Times New Roman" w:cs="Times New Roman"/>
          <w:i/>
          <w:iCs/>
          <w:color w:val="222222"/>
          <w:sz w:val="24"/>
          <w:szCs w:val="24"/>
          <w:shd w:val="clear" w:color="auto" w:fill="FFFFFF"/>
        </w:rPr>
        <w:t>Journal of Emergency Medicine</w:t>
      </w:r>
      <w:r w:rsidRPr="00994B67">
        <w:rPr>
          <w:rFonts w:ascii="Times New Roman" w:hAnsi="Times New Roman" w:cs="Times New Roman"/>
          <w:color w:val="222222"/>
          <w:sz w:val="24"/>
          <w:szCs w:val="24"/>
          <w:shd w:val="clear" w:color="auto" w:fill="FFFFFF"/>
        </w:rPr>
        <w:t>, </w:t>
      </w:r>
      <w:r w:rsidRPr="00994B67">
        <w:rPr>
          <w:rFonts w:ascii="Times New Roman" w:hAnsi="Times New Roman" w:cs="Times New Roman"/>
          <w:i/>
          <w:iCs/>
          <w:color w:val="222222"/>
          <w:sz w:val="24"/>
          <w:szCs w:val="24"/>
          <w:shd w:val="clear" w:color="auto" w:fill="FFFFFF"/>
        </w:rPr>
        <w:t>20</w:t>
      </w:r>
      <w:r w:rsidRPr="00994B67">
        <w:rPr>
          <w:rFonts w:ascii="Times New Roman" w:hAnsi="Times New Roman" w:cs="Times New Roman"/>
          <w:color w:val="222222"/>
          <w:sz w:val="24"/>
          <w:szCs w:val="24"/>
          <w:shd w:val="clear" w:color="auto" w:fill="FFFFFF"/>
        </w:rPr>
        <w:t>(4), 573.</w:t>
      </w:r>
    </w:p>
    <w:sectPr w:rsidR="00F209A4" w:rsidRPr="00994B67" w:rsidSect="00B76DED">
      <w:headerReference w:type="first" r:id="rId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DF7" w:rsidRDefault="004E0DF7" w:rsidP="00B76DED">
      <w:pPr>
        <w:spacing w:after="0" w:line="240" w:lineRule="auto"/>
      </w:pPr>
      <w:r>
        <w:separator/>
      </w:r>
    </w:p>
  </w:endnote>
  <w:endnote w:type="continuationSeparator" w:id="1">
    <w:p w:rsidR="004E0DF7" w:rsidRDefault="004E0DF7" w:rsidP="00B76DE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DF7" w:rsidRDefault="004E0DF7" w:rsidP="00B76DED">
      <w:pPr>
        <w:spacing w:after="0" w:line="240" w:lineRule="auto"/>
      </w:pPr>
      <w:r>
        <w:separator/>
      </w:r>
    </w:p>
  </w:footnote>
  <w:footnote w:type="continuationSeparator" w:id="1">
    <w:p w:rsidR="004E0DF7" w:rsidRDefault="004E0DF7" w:rsidP="00B76DE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6DED" w:rsidRPr="00B76DED" w:rsidRDefault="00B76DED" w:rsidP="00B76DED">
    <w:pPr>
      <w:pStyle w:val="Header"/>
      <w:spacing w:line="480" w:lineRule="auto"/>
      <w:jc w:val="right"/>
      <w:rPr>
        <w:rFonts w:ascii="Times New Roman" w:hAnsi="Times New Roman" w:cs="Times New Roman"/>
        <w:sz w:val="24"/>
        <w:szCs w:val="24"/>
      </w:rPr>
    </w:pPr>
    <w:r w:rsidRPr="00B76DED">
      <w:rPr>
        <w:rFonts w:ascii="Times New Roman" w:hAnsi="Times New Roman" w:cs="Times New Roman"/>
        <w:sz w:val="24"/>
        <w:szCs w:val="24"/>
      </w:rPr>
      <w:t>Running head: URINARY TRACT INFECTIONS</w:t>
    </w:r>
    <w:r w:rsidRPr="00B76DED">
      <w:rPr>
        <w:rFonts w:ascii="Times New Roman" w:hAnsi="Times New Roman" w:cs="Times New Roman"/>
        <w:sz w:val="24"/>
        <w:szCs w:val="24"/>
      </w:rPr>
      <w:tab/>
    </w:r>
    <w:sdt>
      <w:sdtPr>
        <w:rPr>
          <w:rFonts w:ascii="Times New Roman" w:hAnsi="Times New Roman" w:cs="Times New Roman"/>
          <w:sz w:val="24"/>
          <w:szCs w:val="24"/>
        </w:rPr>
        <w:id w:val="56325344"/>
        <w:docPartObj>
          <w:docPartGallery w:val="Page Numbers (Top of Page)"/>
          <w:docPartUnique/>
        </w:docPartObj>
      </w:sdtPr>
      <w:sdtContent>
        <w:r w:rsidRPr="00B76DED">
          <w:rPr>
            <w:rFonts w:ascii="Times New Roman" w:hAnsi="Times New Roman" w:cs="Times New Roman"/>
            <w:sz w:val="24"/>
            <w:szCs w:val="24"/>
          </w:rPr>
          <w:fldChar w:fldCharType="begin"/>
        </w:r>
        <w:r w:rsidRPr="00B76DED">
          <w:rPr>
            <w:rFonts w:ascii="Times New Roman" w:hAnsi="Times New Roman" w:cs="Times New Roman"/>
            <w:sz w:val="24"/>
            <w:szCs w:val="24"/>
          </w:rPr>
          <w:instrText xml:space="preserve"> PAGE   \* MERGEFORMAT </w:instrText>
        </w:r>
        <w:r w:rsidRPr="00B76DED">
          <w:rPr>
            <w:rFonts w:ascii="Times New Roman" w:hAnsi="Times New Roman" w:cs="Times New Roman"/>
            <w:sz w:val="24"/>
            <w:szCs w:val="24"/>
          </w:rPr>
          <w:fldChar w:fldCharType="separate"/>
        </w:r>
        <w:r w:rsidR="00994B67">
          <w:rPr>
            <w:rFonts w:ascii="Times New Roman" w:hAnsi="Times New Roman" w:cs="Times New Roman"/>
            <w:noProof/>
            <w:sz w:val="24"/>
            <w:szCs w:val="24"/>
          </w:rPr>
          <w:t>1</w:t>
        </w:r>
        <w:r w:rsidRPr="00B76DED">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92F6F"/>
    <w:rsid w:val="00290FE3"/>
    <w:rsid w:val="003B7FD7"/>
    <w:rsid w:val="004E0DF7"/>
    <w:rsid w:val="005672F0"/>
    <w:rsid w:val="005B7F20"/>
    <w:rsid w:val="006301BB"/>
    <w:rsid w:val="006B22DA"/>
    <w:rsid w:val="00792F6F"/>
    <w:rsid w:val="007A3146"/>
    <w:rsid w:val="007B7FEE"/>
    <w:rsid w:val="00994B67"/>
    <w:rsid w:val="00B76DED"/>
    <w:rsid w:val="00DC17FA"/>
    <w:rsid w:val="00F209A4"/>
    <w:rsid w:val="00F5179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01BB"/>
  </w:style>
  <w:style w:type="paragraph" w:styleId="Heading2">
    <w:name w:val="heading 2"/>
    <w:basedOn w:val="Normal"/>
    <w:link w:val="Heading2Char"/>
    <w:uiPriority w:val="9"/>
    <w:qFormat/>
    <w:rsid w:val="00994B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994B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6D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6DED"/>
  </w:style>
  <w:style w:type="paragraph" w:styleId="Footer">
    <w:name w:val="footer"/>
    <w:basedOn w:val="Normal"/>
    <w:link w:val="FooterChar"/>
    <w:uiPriority w:val="99"/>
    <w:semiHidden/>
    <w:unhideWhenUsed/>
    <w:rsid w:val="00B76DE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76DED"/>
  </w:style>
  <w:style w:type="character" w:customStyle="1" w:styleId="Heading2Char">
    <w:name w:val="Heading 2 Char"/>
    <w:basedOn w:val="DefaultParagraphFont"/>
    <w:link w:val="Heading2"/>
    <w:uiPriority w:val="9"/>
    <w:rsid w:val="00994B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994B6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994B6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21944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4</Pages>
  <Words>553</Words>
  <Characters>3157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kapyenga</dc:creator>
  <cp:lastModifiedBy>kapyenga</cp:lastModifiedBy>
  <cp:revision>7</cp:revision>
  <dcterms:created xsi:type="dcterms:W3CDTF">2020-06-26T03:52:00Z</dcterms:created>
  <dcterms:modified xsi:type="dcterms:W3CDTF">2020-06-26T06:47:00Z</dcterms:modified>
</cp:coreProperties>
</file>